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835" w:rsidRDefault="00E50835"/>
    <w:p w:rsidR="003C2109" w:rsidRDefault="003C2109"/>
    <w:p w:rsidR="003C2109" w:rsidRDefault="003C2109">
      <w:r>
        <w:rPr>
          <w:noProof/>
        </w:rPr>
        <w:drawing>
          <wp:inline distT="0" distB="0" distL="0" distR="0">
            <wp:extent cx="6119284" cy="733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44448" cy="736441"/>
                    </a:xfrm>
                    <a:prstGeom prst="rect">
                      <a:avLst/>
                    </a:prstGeom>
                    <a:noFill/>
                    <a:ln w="9525">
                      <a:noFill/>
                      <a:miter lim="800000"/>
                      <a:headEnd/>
                      <a:tailEnd/>
                    </a:ln>
                  </pic:spPr>
                </pic:pic>
              </a:graphicData>
            </a:graphic>
          </wp:inline>
        </w:drawing>
      </w:r>
    </w:p>
    <w:p w:rsidR="003C2109" w:rsidRDefault="003C2109" w:rsidP="003C2109">
      <w:pPr>
        <w:pStyle w:val="Default"/>
        <w:spacing w:line="480" w:lineRule="auto"/>
        <w:rPr>
          <w:sz w:val="23"/>
          <w:szCs w:val="23"/>
        </w:rPr>
      </w:pPr>
      <w:r>
        <w:rPr>
          <w:b/>
          <w:bCs/>
          <w:sz w:val="23"/>
          <w:szCs w:val="23"/>
        </w:rPr>
        <w:t xml:space="preserve">Lamar University – M.Ed. in Educational Technology Leadership </w:t>
      </w:r>
    </w:p>
    <w:p w:rsidR="003C2109" w:rsidRDefault="003C2109" w:rsidP="003C2109">
      <w:pPr>
        <w:spacing w:line="480" w:lineRule="auto"/>
        <w:rPr>
          <w:b/>
          <w:bCs/>
          <w:sz w:val="23"/>
          <w:szCs w:val="23"/>
        </w:rPr>
      </w:pPr>
      <w:r>
        <w:rPr>
          <w:b/>
          <w:bCs/>
          <w:sz w:val="23"/>
          <w:szCs w:val="23"/>
        </w:rPr>
        <w:t>Reflections of ITSE Standards</w:t>
      </w:r>
    </w:p>
    <w:tbl>
      <w:tblPr>
        <w:tblStyle w:val="TableGrid"/>
        <w:tblW w:w="0" w:type="auto"/>
        <w:tblLook w:val="04A0"/>
      </w:tblPr>
      <w:tblGrid>
        <w:gridCol w:w="3192"/>
        <w:gridCol w:w="3192"/>
        <w:gridCol w:w="3192"/>
      </w:tblGrid>
      <w:tr w:rsidR="003C2109" w:rsidTr="003C2109">
        <w:tc>
          <w:tcPr>
            <w:tcW w:w="3192" w:type="dxa"/>
          </w:tcPr>
          <w:p w:rsidR="003C2109" w:rsidRDefault="003C2109" w:rsidP="003C2109">
            <w:pPr>
              <w:spacing w:line="480" w:lineRule="auto"/>
              <w:rPr>
                <w:b/>
                <w:bCs/>
                <w:sz w:val="23"/>
                <w:szCs w:val="23"/>
              </w:rPr>
            </w:pPr>
            <w:r>
              <w:rPr>
                <w:b/>
                <w:bCs/>
                <w:sz w:val="23"/>
                <w:szCs w:val="23"/>
              </w:rPr>
              <w:t>Course Number:</w:t>
            </w:r>
          </w:p>
        </w:tc>
        <w:tc>
          <w:tcPr>
            <w:tcW w:w="3192" w:type="dxa"/>
          </w:tcPr>
          <w:p w:rsidR="003C2109" w:rsidRDefault="003C2109" w:rsidP="003C2109">
            <w:pPr>
              <w:spacing w:line="480" w:lineRule="auto"/>
              <w:rPr>
                <w:b/>
                <w:bCs/>
                <w:sz w:val="23"/>
                <w:szCs w:val="23"/>
              </w:rPr>
            </w:pPr>
            <w:r>
              <w:rPr>
                <w:b/>
                <w:bCs/>
                <w:sz w:val="23"/>
                <w:szCs w:val="23"/>
              </w:rPr>
              <w:t>Course Name:</w:t>
            </w:r>
          </w:p>
        </w:tc>
        <w:tc>
          <w:tcPr>
            <w:tcW w:w="3192" w:type="dxa"/>
          </w:tcPr>
          <w:p w:rsidR="003C2109" w:rsidRDefault="003C2109" w:rsidP="003C2109">
            <w:pPr>
              <w:spacing w:line="480" w:lineRule="auto"/>
              <w:rPr>
                <w:b/>
                <w:bCs/>
                <w:sz w:val="23"/>
                <w:szCs w:val="23"/>
              </w:rPr>
            </w:pPr>
            <w:r>
              <w:rPr>
                <w:b/>
                <w:bCs/>
                <w:sz w:val="23"/>
                <w:szCs w:val="23"/>
              </w:rPr>
              <w:t>ITSE Standard</w:t>
            </w:r>
          </w:p>
        </w:tc>
      </w:tr>
      <w:tr w:rsidR="003C2109" w:rsidTr="003C2109">
        <w:tc>
          <w:tcPr>
            <w:tcW w:w="3192" w:type="dxa"/>
          </w:tcPr>
          <w:p w:rsidR="003C2109" w:rsidRDefault="003C2109" w:rsidP="003C2109">
            <w:pPr>
              <w:spacing w:line="480" w:lineRule="auto"/>
              <w:rPr>
                <w:b/>
                <w:bCs/>
                <w:sz w:val="23"/>
                <w:szCs w:val="23"/>
              </w:rPr>
            </w:pPr>
            <w:r>
              <w:rPr>
                <w:b/>
                <w:bCs/>
                <w:sz w:val="23"/>
                <w:szCs w:val="23"/>
              </w:rPr>
              <w:t>EDLD 5370 ET5398</w:t>
            </w:r>
          </w:p>
        </w:tc>
        <w:tc>
          <w:tcPr>
            <w:tcW w:w="3192" w:type="dxa"/>
          </w:tcPr>
          <w:p w:rsidR="003C2109" w:rsidRDefault="003C2109" w:rsidP="003C2109">
            <w:pPr>
              <w:rPr>
                <w:b/>
                <w:bCs/>
                <w:sz w:val="23"/>
                <w:szCs w:val="23"/>
              </w:rPr>
            </w:pPr>
            <w:r>
              <w:rPr>
                <w:b/>
                <w:bCs/>
                <w:sz w:val="23"/>
                <w:szCs w:val="23"/>
              </w:rPr>
              <w:t>Educational Technology Leadership Internship</w:t>
            </w:r>
          </w:p>
        </w:tc>
        <w:tc>
          <w:tcPr>
            <w:tcW w:w="3192" w:type="dxa"/>
          </w:tcPr>
          <w:p w:rsidR="003C2109" w:rsidRDefault="007B0752" w:rsidP="004A0565">
            <w:pPr>
              <w:rPr>
                <w:b/>
                <w:bCs/>
                <w:sz w:val="23"/>
                <w:szCs w:val="23"/>
              </w:rPr>
            </w:pPr>
            <w:r>
              <w:rPr>
                <w:b/>
                <w:bCs/>
                <w:sz w:val="23"/>
                <w:szCs w:val="23"/>
              </w:rPr>
              <w:t xml:space="preserve">Standard II </w:t>
            </w:r>
            <w:r w:rsidR="003C2109">
              <w:rPr>
                <w:b/>
                <w:bCs/>
                <w:sz w:val="23"/>
                <w:szCs w:val="23"/>
              </w:rPr>
              <w:t xml:space="preserve">– </w:t>
            </w:r>
            <w:r w:rsidR="004A0565" w:rsidRPr="004A0565">
              <w:rPr>
                <w:rFonts w:cstheme="minorHAnsi"/>
                <w:b/>
              </w:rPr>
              <w:t>Planning and Designing Learning Environments and Experiences</w:t>
            </w:r>
          </w:p>
        </w:tc>
      </w:tr>
    </w:tbl>
    <w:p w:rsidR="003C2109" w:rsidRDefault="003C2109" w:rsidP="003C2109">
      <w:pPr>
        <w:spacing w:line="480" w:lineRule="auto"/>
        <w:rPr>
          <w:b/>
          <w:bCs/>
          <w:sz w:val="23"/>
          <w:szCs w:val="23"/>
        </w:rPr>
      </w:pPr>
    </w:p>
    <w:tbl>
      <w:tblPr>
        <w:tblStyle w:val="TableGrid"/>
        <w:tblW w:w="0" w:type="auto"/>
        <w:tblLook w:val="04A0"/>
      </w:tblPr>
      <w:tblGrid>
        <w:gridCol w:w="2972"/>
        <w:gridCol w:w="6604"/>
      </w:tblGrid>
      <w:tr w:rsidR="003C2109" w:rsidTr="003C2109">
        <w:tc>
          <w:tcPr>
            <w:tcW w:w="2808" w:type="dxa"/>
          </w:tcPr>
          <w:p w:rsidR="003C2109" w:rsidRPr="003C2109" w:rsidRDefault="003C2109" w:rsidP="003C2109">
            <w:pPr>
              <w:pStyle w:val="Default"/>
              <w:rPr>
                <w:rFonts w:asciiTheme="minorHAnsi" w:hAnsiTheme="minorHAnsi" w:cstheme="minorHAnsi"/>
                <w:b/>
              </w:rPr>
            </w:pPr>
            <w:r>
              <w:rPr>
                <w:rFonts w:asciiTheme="minorHAnsi" w:hAnsiTheme="minorHAnsi" w:cstheme="minorHAnsi"/>
                <w:b/>
              </w:rPr>
              <w:t>Desc</w:t>
            </w:r>
            <w:r w:rsidRPr="003C2109">
              <w:rPr>
                <w:rFonts w:asciiTheme="minorHAnsi" w:hAnsiTheme="minorHAnsi" w:cstheme="minorHAnsi"/>
                <w:b/>
              </w:rPr>
              <w:t>ription of the Assignment/Performance</w:t>
            </w:r>
          </w:p>
          <w:p w:rsidR="003C2109" w:rsidRDefault="003C2109" w:rsidP="003C2109">
            <w:pPr>
              <w:pStyle w:val="Default"/>
              <w:rPr>
                <w:b/>
                <w:bCs/>
                <w:sz w:val="23"/>
                <w:szCs w:val="23"/>
              </w:rPr>
            </w:pPr>
            <w:r w:rsidRPr="003C2109">
              <w:rPr>
                <w:rFonts w:asciiTheme="minorHAnsi" w:hAnsiTheme="minorHAnsi" w:cstheme="minorHAnsi"/>
                <w:b/>
              </w:rPr>
              <w:t>Tasks</w:t>
            </w:r>
          </w:p>
        </w:tc>
        <w:tc>
          <w:tcPr>
            <w:tcW w:w="6768" w:type="dxa"/>
          </w:tcPr>
          <w:p w:rsidR="003C2109" w:rsidRPr="003C2109" w:rsidRDefault="003C2109" w:rsidP="003C2109">
            <w:pPr>
              <w:pStyle w:val="Default"/>
              <w:rPr>
                <w:rFonts w:asciiTheme="minorHAnsi" w:hAnsiTheme="minorHAnsi" w:cstheme="minorHAnsi"/>
                <w:b/>
                <w:sz w:val="22"/>
                <w:szCs w:val="22"/>
              </w:rPr>
            </w:pPr>
            <w:r w:rsidRPr="003C2109">
              <w:rPr>
                <w:rFonts w:asciiTheme="minorHAnsi" w:hAnsiTheme="minorHAnsi" w:cstheme="minorHAnsi"/>
                <w:b/>
                <w:sz w:val="22"/>
                <w:szCs w:val="22"/>
              </w:rPr>
              <w:t>ITSE Standard:</w:t>
            </w:r>
          </w:p>
          <w:p w:rsidR="003C2109" w:rsidRDefault="003C2109" w:rsidP="003C2109">
            <w:pPr>
              <w:pStyle w:val="Default"/>
              <w:rPr>
                <w:b/>
                <w:bCs/>
                <w:sz w:val="23"/>
                <w:szCs w:val="23"/>
              </w:rPr>
            </w:pPr>
            <w:r w:rsidRPr="003C2109">
              <w:rPr>
                <w:rFonts w:asciiTheme="minorHAnsi" w:hAnsiTheme="minorHAnsi" w:cstheme="minorHAnsi"/>
                <w:b/>
                <w:sz w:val="22"/>
                <w:szCs w:val="22"/>
              </w:rPr>
              <w:t>Educational Technology facilitators demonstrate an in-depth understanding of technology operations and concepts.</w:t>
            </w:r>
          </w:p>
        </w:tc>
      </w:tr>
      <w:tr w:rsidR="003C2109" w:rsidTr="003C2109">
        <w:tc>
          <w:tcPr>
            <w:tcW w:w="2808" w:type="dxa"/>
          </w:tcPr>
          <w:p w:rsidR="007C0338" w:rsidRPr="005A458A" w:rsidRDefault="007C0338" w:rsidP="007C0338">
            <w:pPr>
              <w:ind w:left="162"/>
            </w:pP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7C0338" w:rsidRPr="005A458A" w:rsidRDefault="007C0338" w:rsidP="007C0338">
            <w:pPr>
              <w:ind w:left="162"/>
              <w:rPr>
                <w:b/>
                <w:bCs/>
                <w:sz w:val="20"/>
                <w:szCs w:val="20"/>
              </w:rPr>
            </w:pPr>
            <w:r w:rsidRPr="005A458A">
              <w:rPr>
                <w:b/>
                <w:bCs/>
                <w:sz w:val="20"/>
                <w:szCs w:val="20"/>
              </w:rPr>
              <w:t>Self –Assessment</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 xml:space="preserve">2. Critically reflect upon the relationship between any </w:t>
            </w:r>
            <w:r w:rsidRPr="005A458A">
              <w:rPr>
                <w:bCs/>
                <w:sz w:val="20"/>
                <w:szCs w:val="20"/>
              </w:rPr>
              <w:lastRenderedPageBreak/>
              <w:t>new information you gained from the assignment with old information you previously held to be true.</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7C0338" w:rsidRPr="005A458A" w:rsidRDefault="007C0338" w:rsidP="007C0338">
            <w:pPr>
              <w:ind w:left="162"/>
              <w:rPr>
                <w:bCs/>
                <w:sz w:val="20"/>
                <w:szCs w:val="20"/>
              </w:rPr>
            </w:pPr>
          </w:p>
          <w:p w:rsidR="007C0338" w:rsidRPr="005A458A" w:rsidRDefault="007C0338" w:rsidP="007C0338">
            <w:pPr>
              <w:ind w:left="162"/>
              <w:rPr>
                <w:b/>
                <w:bCs/>
                <w:sz w:val="20"/>
                <w:szCs w:val="20"/>
              </w:rPr>
            </w:pPr>
            <w:r w:rsidRPr="005A458A">
              <w:rPr>
                <w:b/>
                <w:bCs/>
                <w:sz w:val="20"/>
                <w:szCs w:val="20"/>
              </w:rPr>
              <w:t>Learn as a Learner</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7C0338" w:rsidRPr="005A458A" w:rsidRDefault="007C0338" w:rsidP="007C0338">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Lifelong Learning Skills</w:t>
            </w:r>
          </w:p>
          <w:p w:rsidR="007C0338" w:rsidRPr="005A458A" w:rsidRDefault="007C0338" w:rsidP="007C0338">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7C0338" w:rsidRPr="005A458A" w:rsidRDefault="007C0338" w:rsidP="007C0338">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7C0338" w:rsidRPr="005A458A" w:rsidRDefault="007C0338" w:rsidP="007C0338">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7C0338" w:rsidRPr="005A458A" w:rsidRDefault="007C0338" w:rsidP="007C0338">
            <w:pPr>
              <w:ind w:left="162"/>
              <w:rPr>
                <w:bCs/>
                <w:sz w:val="20"/>
                <w:szCs w:val="20"/>
              </w:rPr>
            </w:pPr>
          </w:p>
          <w:p w:rsidR="007C0338" w:rsidRPr="00CB6403" w:rsidRDefault="007C0338" w:rsidP="007C0338">
            <w:pPr>
              <w:ind w:left="162"/>
              <w:rPr>
                <w:b/>
                <w:bCs/>
                <w:sz w:val="20"/>
                <w:szCs w:val="20"/>
              </w:rPr>
            </w:pPr>
            <w:r w:rsidRPr="00CB6403">
              <w:rPr>
                <w:b/>
                <w:bCs/>
                <w:sz w:val="20"/>
                <w:szCs w:val="20"/>
              </w:rPr>
              <w:t>Additional Criteria</w:t>
            </w:r>
          </w:p>
          <w:p w:rsidR="007C0338" w:rsidRPr="005A458A" w:rsidRDefault="007C0338" w:rsidP="007C0338">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 xml:space="preserve">(1 </w:t>
            </w:r>
            <w:r w:rsidRPr="005A458A">
              <w:rPr>
                <w:bCs/>
                <w:sz w:val="20"/>
                <w:szCs w:val="20"/>
              </w:rPr>
              <w:lastRenderedPageBreak/>
              <w:t>Point)</w:t>
            </w:r>
          </w:p>
          <w:p w:rsidR="007C0338" w:rsidRPr="005A458A" w:rsidRDefault="007C0338" w:rsidP="007C0338">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7C0338" w:rsidRPr="005A458A" w:rsidRDefault="007C0338" w:rsidP="007C0338">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7C0338" w:rsidRPr="007C0338" w:rsidRDefault="007C0338" w:rsidP="007C0338">
            <w:pPr>
              <w:spacing w:before="100" w:beforeAutospacing="1" w:after="100" w:afterAutospacing="1"/>
              <w:outlineLvl w:val="2"/>
              <w:rPr>
                <w:rFonts w:ascii="Arial" w:eastAsia="Times New Roman" w:hAnsi="Arial" w:cs="Arial"/>
                <w:b/>
                <w:bCs/>
                <w:sz w:val="27"/>
                <w:szCs w:val="27"/>
              </w:rPr>
            </w:pPr>
          </w:p>
          <w:p w:rsidR="003C2109" w:rsidRDefault="003C2109" w:rsidP="003C2109">
            <w:pPr>
              <w:spacing w:line="480" w:lineRule="auto"/>
              <w:rPr>
                <w:b/>
                <w:bCs/>
                <w:sz w:val="23"/>
                <w:szCs w:val="23"/>
              </w:rPr>
            </w:pPr>
          </w:p>
        </w:tc>
        <w:tc>
          <w:tcPr>
            <w:tcW w:w="6768" w:type="dxa"/>
          </w:tcPr>
          <w:p w:rsidR="003C2109" w:rsidRDefault="003C2109" w:rsidP="003C2109">
            <w:pPr>
              <w:pStyle w:val="Default"/>
            </w:pPr>
          </w:p>
          <w:p w:rsidR="004A0565" w:rsidRPr="006C659B" w:rsidRDefault="004A0565" w:rsidP="004A0565">
            <w:pPr>
              <w:autoSpaceDE w:val="0"/>
              <w:autoSpaceDN w:val="0"/>
              <w:adjustRightInd w:val="0"/>
              <w:spacing w:line="480" w:lineRule="auto"/>
              <w:rPr>
                <w:rFonts w:ascii="Arial" w:eastAsia="Times New Roman" w:hAnsi="Arial" w:cs="Arial"/>
              </w:rPr>
            </w:pPr>
            <w:r w:rsidRPr="00492B3F">
              <w:rPr>
                <w:rFonts w:ascii="Arial" w:hAnsi="Arial" w:cs="Arial"/>
                <w:u w:val="single"/>
              </w:rPr>
              <w:t>Self-Assessment</w:t>
            </w:r>
            <w:r>
              <w:rPr>
                <w:rFonts w:ascii="Arial" w:hAnsi="Arial" w:cs="Arial"/>
              </w:rPr>
              <w:t xml:space="preserve">:  According to Standard II, Planning and Designing Learning Environments and Experiences TF-II.A I provided and distributed easy user instruction and helpful shortcuts for tasks that teachers do frequently (Microsoft Office Tips, Tricks, and Shortcuts.  I helped to develop an instructional packet of information that included Microsoft Office tips, tricks, and shortcuts.  It included information about tips, tricks, and shortcuts that could be utilized with Microsoft Office 2007 in conjunction with Microsoft Office Word, Microsoft Office Excel, and Microsoft Office Outlook.  We utilized this information during our district technology in-service sessions and sent these packets </w:t>
            </w:r>
            <w:r>
              <w:rPr>
                <w:rFonts w:ascii="Arial" w:hAnsi="Arial" w:cs="Arial"/>
              </w:rPr>
              <w:lastRenderedPageBreak/>
              <w:t xml:space="preserve">with the participants so that they could benefit from these tips and assist them with easy shortcuts for tasks that staff and teachers do frequently.  These shortcuts can be time saving tools for them in their offices and classrooms.  We provided and included easy user instructions with careful explanation and easy to use instructions that could be beneficial to them for easy reference when necessary.  </w:t>
            </w:r>
            <w:r w:rsidRPr="006C659B">
              <w:rPr>
                <w:rFonts w:ascii="Arial" w:eastAsia="Times New Roman" w:hAnsi="Arial" w:cs="Arial"/>
              </w:rPr>
              <w:t xml:space="preserve">We </w:t>
            </w:r>
            <w:r>
              <w:rPr>
                <w:rFonts w:ascii="Arial" w:eastAsia="Times New Roman" w:hAnsi="Arial" w:cs="Arial"/>
              </w:rPr>
              <w:t xml:space="preserve">need to </w:t>
            </w:r>
            <w:r w:rsidRPr="006C659B">
              <w:rPr>
                <w:rFonts w:ascii="Arial" w:eastAsia="Times New Roman" w:hAnsi="Arial" w:cs="Arial"/>
              </w:rPr>
              <w:t>use new technologies that gave us the “opportunity to respond to the multifaceted individual differences in our student population by providing more varied media, tools, and methods” (Rose, D., &amp; Meyer, A., 2002, p.11).</w:t>
            </w:r>
          </w:p>
          <w:p w:rsidR="004A0565" w:rsidRDefault="004A0565" w:rsidP="004A0565">
            <w:pPr>
              <w:spacing w:line="480" w:lineRule="auto"/>
              <w:ind w:left="127"/>
              <w:rPr>
                <w:rFonts w:ascii="Arial" w:hAnsi="Arial" w:cs="Arial"/>
              </w:rPr>
            </w:pPr>
          </w:p>
          <w:p w:rsidR="004A0565" w:rsidRDefault="004A0565" w:rsidP="004A0565">
            <w:pPr>
              <w:spacing w:line="480" w:lineRule="auto"/>
              <w:ind w:left="127"/>
              <w:rPr>
                <w:rFonts w:ascii="Arial" w:hAnsi="Arial" w:cs="Arial"/>
              </w:rPr>
            </w:pPr>
          </w:p>
          <w:p w:rsidR="004A0565" w:rsidRDefault="004A0565" w:rsidP="004A0565">
            <w:pPr>
              <w:spacing w:line="480" w:lineRule="auto"/>
              <w:rPr>
                <w:rStyle w:val="ft"/>
                <w:rFonts w:ascii="Arial" w:hAnsi="Arial" w:cs="Arial"/>
              </w:rPr>
            </w:pPr>
            <w:r w:rsidRPr="00492B3F">
              <w:rPr>
                <w:rFonts w:ascii="Arial" w:hAnsi="Arial" w:cs="Arial"/>
                <w:u w:val="single"/>
              </w:rPr>
              <w:t>Learn as a Learner</w:t>
            </w:r>
            <w:r>
              <w:rPr>
                <w:rFonts w:ascii="Arial" w:hAnsi="Arial" w:cs="Arial"/>
              </w:rPr>
              <w:t>:  The staff and teachers seemed to really appreciate having an easy reference guide with these tips, tricks, and shortcuts and also assisted them in having a better understanding of Microsoft 2007</w:t>
            </w:r>
            <w:r w:rsidRPr="00572963">
              <w:rPr>
                <w:rFonts w:ascii="Arial" w:hAnsi="Arial" w:cs="Arial"/>
              </w:rPr>
              <w:t>.  “The changing nature of information and the new ways our students understand and make sense of the world signal that we need new strategies and new tools for teaching and learning.  With these tools, people are changing the way that the real world works-business practices as well as social activities” (Solomon, G., &amp; Schrum, L. 1.)</w:t>
            </w:r>
            <w:r w:rsidRPr="00805280">
              <w:rPr>
                <w:rFonts w:ascii="Arial" w:hAnsi="Arial" w:cs="Arial"/>
                <w:sz w:val="20"/>
                <w:szCs w:val="20"/>
              </w:rPr>
              <w:t xml:space="preserve"> </w:t>
            </w:r>
            <w:r>
              <w:rPr>
                <w:rFonts w:ascii="Arial" w:hAnsi="Arial" w:cs="Arial"/>
                <w:sz w:val="20"/>
                <w:szCs w:val="20"/>
              </w:rPr>
              <w:t xml:space="preserve"> </w:t>
            </w:r>
            <w:r>
              <w:rPr>
                <w:rFonts w:ascii="Arial" w:hAnsi="Arial" w:cs="Arial"/>
              </w:rPr>
              <w:t>According to the ISTE standards, “technology skills and concepts cannot be neglected, they should be integrated into professional learning experiences emphasizing technology as a curriculum tool” (</w:t>
            </w:r>
            <w:r>
              <w:rPr>
                <w:rStyle w:val="ft"/>
                <w:rFonts w:ascii="Arial" w:hAnsi="Arial" w:cs="Arial"/>
              </w:rPr>
              <w:t xml:space="preserve">Williamson, J. &amp; Redish, R., 2009, p. 21).  This is exactly </w:t>
            </w:r>
            <w:r>
              <w:rPr>
                <w:rStyle w:val="ft"/>
                <w:rFonts w:ascii="Arial" w:hAnsi="Arial" w:cs="Arial"/>
              </w:rPr>
              <w:lastRenderedPageBreak/>
              <w:t xml:space="preserve">what we attempted to accomplish during these training sessions.  </w:t>
            </w:r>
          </w:p>
          <w:p w:rsidR="004A0565" w:rsidRDefault="004A0565" w:rsidP="004A0565">
            <w:pPr>
              <w:spacing w:line="480" w:lineRule="auto"/>
              <w:ind w:left="127"/>
              <w:rPr>
                <w:rStyle w:val="ft"/>
                <w:rFonts w:ascii="Arial" w:hAnsi="Arial" w:cs="Arial"/>
              </w:rPr>
            </w:pPr>
          </w:p>
          <w:p w:rsidR="004A0565" w:rsidRDefault="004A0565" w:rsidP="004A0565">
            <w:pPr>
              <w:spacing w:line="480" w:lineRule="auto"/>
              <w:ind w:left="127"/>
              <w:rPr>
                <w:rStyle w:val="ft"/>
                <w:rFonts w:ascii="Arial" w:hAnsi="Arial" w:cs="Arial"/>
              </w:rPr>
            </w:pPr>
            <w:r w:rsidRPr="00492B3F">
              <w:rPr>
                <w:rFonts w:ascii="Arial" w:hAnsi="Arial" w:cs="Arial"/>
                <w:u w:val="single"/>
              </w:rPr>
              <w:t>Lifelong Learning Skills</w:t>
            </w:r>
            <w:r>
              <w:rPr>
                <w:rFonts w:ascii="Arial" w:hAnsi="Arial" w:cs="Arial"/>
              </w:rPr>
              <w:t>:  During the in-service training modules, the attendees were able to take notes and utilize these methods during the workshops.  Opportunities were given for them to share ideas, work together, and make notes on tools that they often utilize.  Everyone seemed to benefit with the sharing time.  I discovered that there are many methods for accomplishing tasks and we are always learning.  I also learned that by this sharing process, we were able to gain many new and innovative methods of utilizing tools in these everyday tasks.  It is important that we place teachers in the type of learning environment that they are to provide in the classrooms.  “Immerse teachers in professional learning experiences similar to the learning experiences that they are expected to design” (</w:t>
            </w:r>
            <w:r>
              <w:rPr>
                <w:rStyle w:val="ft"/>
                <w:rFonts w:ascii="Arial" w:hAnsi="Arial" w:cs="Arial"/>
              </w:rPr>
              <w:t xml:space="preserve">Williamson, J. &amp; Redish, R., 2009, p. 41).  </w:t>
            </w:r>
          </w:p>
          <w:p w:rsidR="004A0565" w:rsidRDefault="004A0565" w:rsidP="004A0565">
            <w:pPr>
              <w:ind w:left="127"/>
              <w:rPr>
                <w:rFonts w:ascii="Arial" w:hAnsi="Arial" w:cs="Arial"/>
              </w:rPr>
            </w:pPr>
          </w:p>
          <w:p w:rsidR="004A0565" w:rsidRDefault="004A0565" w:rsidP="004A0565">
            <w:pPr>
              <w:ind w:left="55"/>
              <w:jc w:val="center"/>
              <w:rPr>
                <w:rFonts w:ascii="Arial" w:hAnsi="Arial" w:cs="Arial"/>
              </w:rPr>
            </w:pPr>
            <w:r>
              <w:rPr>
                <w:rFonts w:ascii="Arial" w:hAnsi="Arial" w:cs="Arial"/>
              </w:rPr>
              <w:t>References</w:t>
            </w:r>
          </w:p>
          <w:p w:rsidR="004A0565" w:rsidRDefault="004A0565" w:rsidP="004A0565">
            <w:pPr>
              <w:ind w:left="55"/>
              <w:jc w:val="center"/>
              <w:rPr>
                <w:rFonts w:ascii="Arial" w:hAnsi="Arial" w:cs="Arial"/>
              </w:rPr>
            </w:pPr>
          </w:p>
          <w:p w:rsidR="004A0565" w:rsidRDefault="004A0565" w:rsidP="004A0565">
            <w:pPr>
              <w:autoSpaceDE w:val="0"/>
              <w:autoSpaceDN w:val="0"/>
              <w:adjustRightInd w:val="0"/>
              <w:spacing w:line="480" w:lineRule="auto"/>
              <w:ind w:hanging="720"/>
              <w:rPr>
                <w:rFonts w:ascii="Arial" w:hAnsi="Arial" w:cs="Arial"/>
              </w:rPr>
            </w:pPr>
            <w:r w:rsidRPr="006C659B">
              <w:rPr>
                <w:rFonts w:ascii="Arial" w:eastAsia="Times New Roman" w:hAnsi="Arial" w:cs="Arial"/>
              </w:rPr>
              <w:t xml:space="preserve">Rose, D., &amp; Meyer, A. (2002). </w:t>
            </w:r>
            <w:r w:rsidRPr="006C659B">
              <w:rPr>
                <w:rFonts w:ascii="Arial" w:eastAsia="Times New Roman" w:hAnsi="Arial" w:cs="Arial"/>
                <w:i/>
                <w:iCs/>
              </w:rPr>
              <w:t xml:space="preserve">Teaching every student in the digital age: Universal Design for learning. </w:t>
            </w:r>
            <w:r w:rsidRPr="006C659B">
              <w:rPr>
                <w:rFonts w:ascii="Arial" w:eastAsia="Times New Roman" w:hAnsi="Arial" w:cs="Arial"/>
              </w:rPr>
              <w:t xml:space="preserve">Alexandria, VA: Association for Supervision and Curriculum Development. Chapter 1, 4, &amp; 6. Available online at the Center for Applied Special Technology Web site. Retrieved October 5, 2009, from </w:t>
            </w:r>
            <w:hyperlink r:id="rId5" w:history="1">
              <w:r w:rsidRPr="006C659B">
                <w:rPr>
                  <w:rStyle w:val="Hyperlink"/>
                  <w:rFonts w:ascii="Arial" w:hAnsi="Arial" w:cs="Arial"/>
                </w:rPr>
                <w:t>http://www.cast.org/teachingeverystudent/ideas/tes/</w:t>
              </w:r>
            </w:hyperlink>
            <w:r w:rsidRPr="002A269C">
              <w:rPr>
                <w:rFonts w:ascii="Arial" w:hAnsi="Arial" w:cs="Arial"/>
                <w:sz w:val="20"/>
                <w:szCs w:val="20"/>
              </w:rPr>
              <w:t>.</w:t>
            </w:r>
          </w:p>
          <w:p w:rsidR="004A0565" w:rsidRDefault="004A0565" w:rsidP="004A0565">
            <w:pPr>
              <w:spacing w:after="100" w:line="480" w:lineRule="auto"/>
              <w:rPr>
                <w:rFonts w:ascii="Arial" w:hAnsi="Arial" w:cs="Arial"/>
              </w:rPr>
            </w:pPr>
            <w:r w:rsidRPr="00D4354D">
              <w:rPr>
                <w:rFonts w:ascii="Arial" w:hAnsi="Arial" w:cs="Arial"/>
              </w:rPr>
              <w:t xml:space="preserve">Solomon, G., &amp; Schrum, L. (2007).  </w:t>
            </w:r>
            <w:r w:rsidRPr="00D4354D">
              <w:rPr>
                <w:rFonts w:ascii="Arial" w:hAnsi="Arial" w:cs="Arial"/>
                <w:i/>
              </w:rPr>
              <w:t xml:space="preserve">Web 2.0  New Tools, New </w:t>
            </w:r>
            <w:r w:rsidRPr="00D4354D">
              <w:rPr>
                <w:rFonts w:ascii="Arial" w:hAnsi="Arial" w:cs="Arial"/>
                <w:i/>
              </w:rPr>
              <w:lastRenderedPageBreak/>
              <w:t>Schools</w:t>
            </w:r>
            <w:r w:rsidRPr="00D4354D">
              <w:rPr>
                <w:rFonts w:ascii="Arial" w:hAnsi="Arial" w:cs="Arial"/>
              </w:rPr>
              <w:t xml:space="preserve">. Eugene, </w:t>
            </w:r>
          </w:p>
          <w:p w:rsidR="004A0565" w:rsidRPr="00D4354D" w:rsidRDefault="004A0565" w:rsidP="004A0565">
            <w:pPr>
              <w:spacing w:after="100" w:line="480" w:lineRule="auto"/>
              <w:rPr>
                <w:rFonts w:ascii="Arial" w:hAnsi="Arial" w:cs="Arial"/>
              </w:rPr>
            </w:pPr>
            <w:r>
              <w:rPr>
                <w:rFonts w:ascii="Arial" w:hAnsi="Arial" w:cs="Arial"/>
              </w:rPr>
              <w:t xml:space="preserve">             </w:t>
            </w:r>
            <w:r w:rsidRPr="00D4354D">
              <w:rPr>
                <w:rFonts w:ascii="Arial" w:hAnsi="Arial" w:cs="Arial"/>
              </w:rPr>
              <w:t xml:space="preserve">Oregon:  ISTE, p. </w:t>
            </w:r>
            <w:r>
              <w:rPr>
                <w:rFonts w:ascii="Arial" w:hAnsi="Arial" w:cs="Arial"/>
              </w:rPr>
              <w:t>1.</w:t>
            </w:r>
            <w:r w:rsidRPr="00D4354D">
              <w:rPr>
                <w:rFonts w:ascii="Arial" w:hAnsi="Arial" w:cs="Arial"/>
              </w:rPr>
              <w:t xml:space="preserve">    .       </w:t>
            </w:r>
          </w:p>
          <w:p w:rsidR="004A0565" w:rsidRPr="00C03DA4" w:rsidRDefault="004A0565" w:rsidP="004A0565">
            <w:pPr>
              <w:spacing w:after="240" w:line="480" w:lineRule="auto"/>
              <w:ind w:hanging="720"/>
              <w:rPr>
                <w:rFonts w:ascii="Arial" w:eastAsia="Times New Roman" w:hAnsi="Arial" w:cs="Arial"/>
              </w:rPr>
            </w:pPr>
            <w:r w:rsidRPr="00D4354D">
              <w:rPr>
                <w:rFonts w:ascii="Arial" w:hAnsi="Arial" w:cs="Arial"/>
              </w:rPr>
              <w:t xml:space="preserve">Williamson, Jo and Redish, Traci. (2009).  </w:t>
            </w:r>
            <w:r w:rsidRPr="00D4354D">
              <w:rPr>
                <w:rFonts w:ascii="Arial" w:eastAsia="Times New Roman" w:hAnsi="Arial" w:cs="Arial"/>
              </w:rPr>
              <w:t>Williamson, J. &amp; Redish, T. (2009). Technology Facilitation and Leadership Standards: What Every K-12 Leader Should Know and Be Able To Do. Eugene, OR: International Society for</w:t>
            </w:r>
            <w:r>
              <w:rPr>
                <w:rFonts w:ascii="Arial" w:eastAsia="Times New Roman" w:hAnsi="Arial" w:cs="Arial"/>
              </w:rPr>
              <w:t xml:space="preserve"> Technology in Education, p. 11, p. 21 &amp; p. 41.</w:t>
            </w:r>
          </w:p>
          <w:p w:rsidR="003C2109" w:rsidRDefault="003C2109" w:rsidP="003C2109">
            <w:pPr>
              <w:spacing w:line="480" w:lineRule="auto"/>
              <w:rPr>
                <w:b/>
                <w:bCs/>
                <w:sz w:val="23"/>
                <w:szCs w:val="23"/>
              </w:rPr>
            </w:pPr>
          </w:p>
        </w:tc>
      </w:tr>
    </w:tbl>
    <w:p w:rsidR="003C2109" w:rsidRDefault="003C2109" w:rsidP="003C2109">
      <w:pPr>
        <w:spacing w:line="480" w:lineRule="auto"/>
        <w:rPr>
          <w:b/>
          <w:bCs/>
          <w:sz w:val="23"/>
          <w:szCs w:val="23"/>
        </w:rPr>
      </w:pPr>
    </w:p>
    <w:p w:rsidR="003C2109" w:rsidRDefault="003C2109" w:rsidP="003C2109">
      <w:pPr>
        <w:spacing w:line="480" w:lineRule="auto"/>
        <w:rPr>
          <w:b/>
          <w:bCs/>
          <w:sz w:val="23"/>
          <w:szCs w:val="23"/>
        </w:rPr>
      </w:pPr>
    </w:p>
    <w:p w:rsidR="003C2109" w:rsidRDefault="003C2109" w:rsidP="003C2109">
      <w:pPr>
        <w:pStyle w:val="Default"/>
      </w:pPr>
    </w:p>
    <w:p w:rsidR="003C2109" w:rsidRDefault="003C2109" w:rsidP="003C2109">
      <w:pPr>
        <w:spacing w:line="480" w:lineRule="auto"/>
      </w:pPr>
    </w:p>
    <w:p w:rsidR="003C2109" w:rsidRDefault="003C2109"/>
    <w:sectPr w:rsidR="003C2109" w:rsidSect="00E5083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C2109"/>
    <w:rsid w:val="003C2109"/>
    <w:rsid w:val="003F0032"/>
    <w:rsid w:val="004A0565"/>
    <w:rsid w:val="007B0752"/>
    <w:rsid w:val="007C0338"/>
    <w:rsid w:val="00E508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835"/>
  </w:style>
  <w:style w:type="paragraph" w:styleId="Heading3">
    <w:name w:val="heading 3"/>
    <w:basedOn w:val="Normal"/>
    <w:link w:val="Heading3Char"/>
    <w:uiPriority w:val="9"/>
    <w:qFormat/>
    <w:rsid w:val="007C033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21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109"/>
    <w:rPr>
      <w:rFonts w:ascii="Tahoma" w:hAnsi="Tahoma" w:cs="Tahoma"/>
      <w:sz w:val="16"/>
      <w:szCs w:val="16"/>
    </w:rPr>
  </w:style>
  <w:style w:type="paragraph" w:customStyle="1" w:styleId="Default">
    <w:name w:val="Default"/>
    <w:rsid w:val="003C210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C21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C0338"/>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4A0565"/>
    <w:rPr>
      <w:color w:val="0000FF" w:themeColor="hyperlink"/>
      <w:u w:val="single"/>
    </w:rPr>
  </w:style>
  <w:style w:type="character" w:customStyle="1" w:styleId="ft">
    <w:name w:val="ft"/>
    <w:basedOn w:val="DefaultParagraphFont"/>
    <w:rsid w:val="004A0565"/>
  </w:style>
</w:styles>
</file>

<file path=word/webSettings.xml><?xml version="1.0" encoding="utf-8"?>
<w:webSettings xmlns:r="http://schemas.openxmlformats.org/officeDocument/2006/relationships" xmlns:w="http://schemas.openxmlformats.org/wordprocessingml/2006/main">
  <w:divs>
    <w:div w:id="505096184">
      <w:bodyDiv w:val="1"/>
      <w:marLeft w:val="0"/>
      <w:marRight w:val="0"/>
      <w:marTop w:val="0"/>
      <w:marBottom w:val="0"/>
      <w:divBdr>
        <w:top w:val="none" w:sz="0" w:space="0" w:color="auto"/>
        <w:left w:val="none" w:sz="0" w:space="0" w:color="auto"/>
        <w:bottom w:val="none" w:sz="0" w:space="0" w:color="auto"/>
        <w:right w:val="none" w:sz="0" w:space="0" w:color="auto"/>
      </w:divBdr>
      <w:divsChild>
        <w:div w:id="97145569">
          <w:marLeft w:val="0"/>
          <w:marRight w:val="0"/>
          <w:marTop w:val="0"/>
          <w:marBottom w:val="0"/>
          <w:divBdr>
            <w:top w:val="none" w:sz="0" w:space="0" w:color="auto"/>
            <w:left w:val="none" w:sz="0" w:space="0" w:color="auto"/>
            <w:bottom w:val="none" w:sz="0" w:space="0" w:color="auto"/>
            <w:right w:val="none" w:sz="0" w:space="0" w:color="auto"/>
          </w:divBdr>
          <w:divsChild>
            <w:div w:id="2015834776">
              <w:marLeft w:val="0"/>
              <w:marRight w:val="0"/>
              <w:marTop w:val="0"/>
              <w:marBottom w:val="0"/>
              <w:divBdr>
                <w:top w:val="none" w:sz="0" w:space="0" w:color="auto"/>
                <w:left w:val="none" w:sz="0" w:space="0" w:color="auto"/>
                <w:bottom w:val="none" w:sz="0" w:space="0" w:color="auto"/>
                <w:right w:val="none" w:sz="0" w:space="0" w:color="auto"/>
              </w:divBdr>
              <w:divsChild>
                <w:div w:id="1734506194">
                  <w:marLeft w:val="3420"/>
                  <w:marRight w:val="225"/>
                  <w:marTop w:val="0"/>
                  <w:marBottom w:val="75"/>
                  <w:divBdr>
                    <w:top w:val="none" w:sz="0" w:space="0" w:color="auto"/>
                    <w:left w:val="none" w:sz="0" w:space="0" w:color="auto"/>
                    <w:bottom w:val="none" w:sz="0" w:space="0" w:color="auto"/>
                    <w:right w:val="none" w:sz="0" w:space="0" w:color="auto"/>
                  </w:divBdr>
                  <w:divsChild>
                    <w:div w:id="1106652756">
                      <w:marLeft w:val="0"/>
                      <w:marRight w:val="0"/>
                      <w:marTop w:val="0"/>
                      <w:marBottom w:val="0"/>
                      <w:divBdr>
                        <w:top w:val="none" w:sz="0" w:space="0" w:color="auto"/>
                        <w:left w:val="none" w:sz="0" w:space="0" w:color="auto"/>
                        <w:bottom w:val="none" w:sz="0" w:space="0" w:color="auto"/>
                        <w:right w:val="none" w:sz="0" w:space="0" w:color="auto"/>
                      </w:divBdr>
                      <w:divsChild>
                        <w:div w:id="229460215">
                          <w:marLeft w:val="0"/>
                          <w:marRight w:val="0"/>
                          <w:marTop w:val="0"/>
                          <w:marBottom w:val="0"/>
                          <w:divBdr>
                            <w:top w:val="none" w:sz="0" w:space="0" w:color="auto"/>
                            <w:left w:val="none" w:sz="0" w:space="0" w:color="auto"/>
                            <w:bottom w:val="none" w:sz="0" w:space="0" w:color="auto"/>
                            <w:right w:val="none" w:sz="0" w:space="0" w:color="auto"/>
                          </w:divBdr>
                          <w:divsChild>
                            <w:div w:id="976649242">
                              <w:marLeft w:val="0"/>
                              <w:marRight w:val="0"/>
                              <w:marTop w:val="0"/>
                              <w:marBottom w:val="0"/>
                              <w:divBdr>
                                <w:top w:val="none" w:sz="0" w:space="0" w:color="auto"/>
                                <w:left w:val="none" w:sz="0" w:space="0" w:color="auto"/>
                                <w:bottom w:val="none" w:sz="0" w:space="0" w:color="auto"/>
                                <w:right w:val="none" w:sz="0" w:space="0" w:color="auto"/>
                              </w:divBdr>
                              <w:divsChild>
                                <w:div w:id="13152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st.org/teachingeverystudent/ideas/tes/" TargetMode="Externa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953</Words>
  <Characters>5438</Characters>
  <Application>Microsoft Office Word</Application>
  <DocSecurity>0</DocSecurity>
  <Lines>45</Lines>
  <Paragraphs>12</Paragraphs>
  <ScaleCrop>false</ScaleCrop>
  <Company/>
  <LinksUpToDate>false</LinksUpToDate>
  <CharactersWithSpaces>6379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2012-03-24T20:00:00Z</dcterms:created>
  <dcterms:modified xsi:type="dcterms:W3CDTF">2012-03-24T20:00:00Z</dcterms:modified>
</cp:coreProperties>
</file>